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2"/>
        <w:spacing w:before="0" w:beforeAutospacing="0" w:after="0" w:afterAutospacing="0"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lang w:eastAsia="zh-CN"/>
        </w:rPr>
        <w:t>漳州市圣元环保电力有限公司漳浦县旧镇镇西区污水处理厂工程</w:t>
      </w:r>
      <w:r>
        <w:rPr>
          <w:rFonts w:hint="eastAsia" w:ascii="宋体" w:hAnsi="宋体" w:eastAsia="宋体" w:cs="宋体"/>
          <w:b/>
          <w:color w:val="auto"/>
          <w:sz w:val="36"/>
          <w:szCs w:val="36"/>
        </w:rPr>
        <w:t>竣工环境保护验收意见</w:t>
      </w:r>
    </w:p>
    <w:p>
      <w:pPr>
        <w:pStyle w:val="32"/>
        <w:spacing w:before="0" w:beforeAutospacing="0" w:after="0" w:afterAutospacing="0" w:line="360" w:lineRule="auto"/>
        <w:ind w:firstLine="420" w:firstLineChars="200"/>
        <w:jc w:val="both"/>
        <w:outlineLvl w:val="0"/>
        <w:rPr>
          <w:rFonts w:hint="eastAsia" w:ascii="宋体" w:hAnsi="宋体" w:eastAsia="宋体" w:cs="宋体"/>
          <w:color w:val="auto"/>
          <w:sz w:val="21"/>
          <w:szCs w:val="21"/>
        </w:rPr>
      </w:pP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2018年</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lang w:eastAsia="zh-CN"/>
        </w:rPr>
        <w:t>月</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lang w:eastAsia="zh-CN"/>
        </w:rPr>
        <w:t>日下午</w:t>
      </w:r>
      <w:r>
        <w:rPr>
          <w:rFonts w:hint="eastAsia" w:ascii="宋体" w:hAnsi="宋体" w:eastAsia="宋体" w:cs="宋体"/>
          <w:b w:val="0"/>
          <w:bCs w:val="0"/>
          <w:color w:val="auto"/>
          <w:sz w:val="24"/>
          <w:szCs w:val="24"/>
          <w:lang w:val="en-US" w:eastAsia="zh-CN"/>
        </w:rPr>
        <w:t>15:00</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kern w:val="2"/>
          <w:sz w:val="24"/>
          <w:szCs w:val="24"/>
          <w:lang w:val="en-US" w:eastAsia="zh-CN"/>
        </w:rPr>
        <w:t>漳州市圣元环保电力有限公司</w:t>
      </w:r>
      <w:r>
        <w:rPr>
          <w:rFonts w:hint="eastAsia" w:ascii="宋体" w:hAnsi="宋体" w:eastAsia="宋体" w:cs="宋体"/>
          <w:b w:val="0"/>
          <w:bCs w:val="0"/>
          <w:color w:val="auto"/>
          <w:sz w:val="24"/>
          <w:szCs w:val="24"/>
          <w:lang w:eastAsia="zh-CN"/>
        </w:rPr>
        <w:t>在漳州旧镇组织召开</w:t>
      </w:r>
      <w:r>
        <w:rPr>
          <w:rFonts w:hint="eastAsia" w:ascii="宋体" w:hAnsi="宋体" w:eastAsia="宋体" w:cs="宋体"/>
          <w:color w:val="auto"/>
          <w:kern w:val="2"/>
          <w:sz w:val="24"/>
          <w:szCs w:val="24"/>
          <w:lang w:eastAsia="zh-CN"/>
        </w:rPr>
        <w:t>漳浦县旧镇镇西区污水处理厂</w:t>
      </w:r>
      <w:r>
        <w:rPr>
          <w:rFonts w:hint="eastAsia" w:ascii="宋体" w:hAnsi="宋体" w:eastAsia="宋体" w:cs="宋体"/>
          <w:b w:val="0"/>
          <w:bCs w:val="0"/>
          <w:color w:val="auto"/>
          <w:sz w:val="24"/>
          <w:szCs w:val="24"/>
          <w:lang w:eastAsia="zh-CN"/>
        </w:rPr>
        <w:t>工程项目竣工环保验收技术审查会。参加会议的有</w:t>
      </w:r>
      <w:r>
        <w:rPr>
          <w:rFonts w:hint="eastAsia" w:ascii="宋体" w:hAnsi="宋体" w:eastAsia="宋体" w:cs="宋体"/>
          <w:color w:val="auto"/>
          <w:kern w:val="2"/>
          <w:sz w:val="24"/>
          <w:szCs w:val="24"/>
          <w:lang w:val="en-US" w:eastAsia="zh-CN"/>
        </w:rPr>
        <w:t>漳州市圣元环保电力有限公司</w:t>
      </w:r>
      <w:r>
        <w:rPr>
          <w:rFonts w:hint="eastAsia" w:ascii="宋体" w:hAnsi="宋体" w:eastAsia="宋体" w:cs="宋体"/>
          <w:b w:val="0"/>
          <w:bCs w:val="0"/>
          <w:color w:val="auto"/>
          <w:sz w:val="24"/>
          <w:szCs w:val="24"/>
          <w:lang w:eastAsia="zh-CN"/>
        </w:rPr>
        <w:t>（业主单位）、漳浦县环保保护局、旧镇镇人民政府、旧镇工业区管委会（监管部门）、厦门市华测检测技术有限公司（验收报告编制单位）以及特邀的</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位专家，共计</w:t>
      </w:r>
      <w:r>
        <w:rPr>
          <w:rFonts w:hint="eastAsia" w:ascii="宋体" w:hAnsi="宋体" w:eastAsia="宋体" w:cs="宋体"/>
          <w:b w:val="0"/>
          <w:bCs w:val="0"/>
          <w:color w:val="auto"/>
          <w:sz w:val="24"/>
          <w:szCs w:val="24"/>
          <w:lang w:val="en-US" w:eastAsia="zh-CN"/>
        </w:rPr>
        <w:t>12人</w:t>
      </w:r>
      <w:r>
        <w:rPr>
          <w:rFonts w:hint="eastAsia" w:ascii="宋体" w:hAnsi="宋体" w:eastAsia="宋体" w:cs="宋体"/>
          <w:b w:val="0"/>
          <w:bCs w:val="0"/>
          <w:color w:val="auto"/>
          <w:sz w:val="24"/>
          <w:szCs w:val="24"/>
          <w:lang w:eastAsia="zh-CN"/>
        </w:rPr>
        <w:t>。与会</w:t>
      </w:r>
      <w:r>
        <w:rPr>
          <w:rFonts w:hint="eastAsia" w:ascii="宋体" w:hAnsi="宋体" w:eastAsia="宋体" w:cs="宋体"/>
          <w:b w:val="0"/>
          <w:bCs w:val="0"/>
          <w:color w:val="auto"/>
          <w:sz w:val="24"/>
          <w:szCs w:val="24"/>
        </w:rPr>
        <w:t>专家、代表</w:t>
      </w:r>
      <w:r>
        <w:rPr>
          <w:rFonts w:hint="eastAsia" w:ascii="宋体" w:hAnsi="宋体" w:eastAsia="宋体" w:cs="宋体"/>
          <w:b w:val="0"/>
          <w:bCs w:val="0"/>
          <w:color w:val="auto"/>
          <w:sz w:val="24"/>
          <w:szCs w:val="24"/>
          <w:lang w:eastAsia="zh-CN"/>
        </w:rPr>
        <w:t>检查</w:t>
      </w:r>
      <w:r>
        <w:rPr>
          <w:rFonts w:hint="eastAsia" w:ascii="宋体" w:hAnsi="宋体" w:eastAsia="宋体" w:cs="宋体"/>
          <w:b w:val="0"/>
          <w:bCs w:val="0"/>
          <w:color w:val="auto"/>
          <w:sz w:val="24"/>
          <w:szCs w:val="24"/>
        </w:rPr>
        <w:t>了项目现场、听取了建设单位关于项目</w:t>
      </w:r>
      <w:r>
        <w:rPr>
          <w:rFonts w:hint="eastAsia" w:ascii="宋体" w:hAnsi="宋体" w:eastAsia="宋体" w:cs="宋体"/>
          <w:b w:val="0"/>
          <w:bCs w:val="0"/>
          <w:color w:val="auto"/>
          <w:sz w:val="24"/>
          <w:szCs w:val="24"/>
          <w:lang w:eastAsia="zh-CN"/>
        </w:rPr>
        <w:t>环保执行情况</w:t>
      </w:r>
      <w:r>
        <w:rPr>
          <w:rFonts w:hint="eastAsia" w:ascii="宋体" w:hAnsi="宋体" w:eastAsia="宋体" w:cs="宋体"/>
          <w:b w:val="0"/>
          <w:bCs w:val="0"/>
          <w:color w:val="auto"/>
          <w:sz w:val="24"/>
          <w:szCs w:val="24"/>
        </w:rPr>
        <w:t>和验收单位关于验收报告主要内容的汇报，对照《建设项目竣工环境保护验收暂行办法》，经认真讨论审议，形成如下评审意见：</w:t>
      </w:r>
    </w:p>
    <w:p>
      <w:pPr>
        <w:spacing w:line="360" w:lineRule="auto"/>
        <w:ind w:firstLine="720" w:firstLineChars="3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一、工程建设基本情况</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（一）建设地点、规模、主要建设内容</w:t>
      </w:r>
    </w:p>
    <w:p>
      <w:pPr>
        <w:spacing w:line="360" w:lineRule="auto"/>
        <w:ind w:left="-2" w:firstLine="555"/>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漳浦县旧镇镇西区污水处理厂位于漳浦县旧镇镇玉厝村，</w:t>
      </w:r>
      <w:r>
        <w:rPr>
          <w:rFonts w:hint="eastAsia" w:ascii="宋体" w:hAnsi="宋体" w:eastAsia="宋体" w:cs="宋体"/>
          <w:color w:val="auto"/>
          <w:kern w:val="2"/>
          <w:sz w:val="24"/>
          <w:szCs w:val="24"/>
          <w:lang w:val="en-US" w:eastAsia="zh-CN"/>
        </w:rPr>
        <w:t>污水处理厂设计规模为日处理量0.3万m</w:t>
      </w:r>
      <w:r>
        <w:rPr>
          <w:rFonts w:hint="eastAsia" w:ascii="宋体" w:hAnsi="宋体" w:eastAsia="宋体" w:cs="宋体"/>
          <w:color w:val="auto"/>
          <w:kern w:val="2"/>
          <w:sz w:val="24"/>
          <w:szCs w:val="24"/>
          <w:vertAlign w:val="superscript"/>
          <w:lang w:val="en-US" w:eastAsia="zh-CN"/>
        </w:rPr>
        <w:t>3</w:t>
      </w:r>
      <w:r>
        <w:rPr>
          <w:rFonts w:hint="eastAsia" w:ascii="宋体" w:hAnsi="宋体" w:eastAsia="宋体" w:cs="宋体"/>
          <w:color w:val="auto"/>
          <w:kern w:val="2"/>
          <w:sz w:val="24"/>
          <w:szCs w:val="24"/>
          <w:lang w:val="en-US" w:eastAsia="zh-CN"/>
        </w:rPr>
        <w:t>，主要接纳污水为工业废水、生活污水和其它污水，分两期进行建设，一期为0.15万m</w:t>
      </w:r>
      <w:r>
        <w:rPr>
          <w:rFonts w:hint="eastAsia" w:ascii="宋体" w:hAnsi="宋体" w:eastAsia="宋体" w:cs="宋体"/>
          <w:color w:val="auto"/>
          <w:kern w:val="2"/>
          <w:sz w:val="24"/>
          <w:szCs w:val="24"/>
          <w:vertAlign w:val="superscript"/>
          <w:lang w:val="en-US" w:eastAsia="zh-CN"/>
        </w:rPr>
        <w:t>3</w:t>
      </w:r>
      <w:r>
        <w:rPr>
          <w:rFonts w:hint="eastAsia" w:ascii="宋体" w:hAnsi="宋体" w:eastAsia="宋体" w:cs="宋体"/>
          <w:color w:val="auto"/>
          <w:kern w:val="2"/>
          <w:sz w:val="24"/>
          <w:szCs w:val="24"/>
          <w:lang w:val="en-US" w:eastAsia="zh-CN"/>
        </w:rPr>
        <w:t>/d，二期新增0.15万m</w:t>
      </w:r>
      <w:r>
        <w:rPr>
          <w:rFonts w:hint="eastAsia" w:ascii="宋体" w:hAnsi="宋体" w:eastAsia="宋体" w:cs="宋体"/>
          <w:color w:val="auto"/>
          <w:kern w:val="2"/>
          <w:sz w:val="24"/>
          <w:szCs w:val="24"/>
          <w:vertAlign w:val="superscript"/>
          <w:lang w:val="en-US" w:eastAsia="zh-CN"/>
        </w:rPr>
        <w:t>3</w:t>
      </w:r>
      <w:r>
        <w:rPr>
          <w:rFonts w:hint="eastAsia" w:ascii="宋体" w:hAnsi="宋体" w:eastAsia="宋体" w:cs="宋体"/>
          <w:color w:val="auto"/>
          <w:kern w:val="2"/>
          <w:sz w:val="24"/>
          <w:szCs w:val="24"/>
          <w:lang w:val="en-US" w:eastAsia="zh-CN"/>
        </w:rPr>
        <w:t>/d。污水厂总投资1654.24万元，环保投资130万元，其中一期总投资1095.75万元，环保投资85万元。占地面积4928.08m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（合7.39亩），总建筑面积2290.44m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（4.45亩），一期用地面积1960.03m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（2.94亩)，计容建筑面积为318.40m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；二期用地面积2968.05m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（4.45亩），计容建筑面积为318.40m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。项目一期已建成，用地面积1960.03m</w:t>
      </w:r>
      <w:r>
        <w:rPr>
          <w:rFonts w:hint="eastAsia" w:ascii="宋体" w:hAnsi="宋体" w:eastAsia="宋体" w:cs="宋体"/>
          <w:color w:val="auto"/>
          <w:kern w:val="2"/>
          <w:sz w:val="24"/>
          <w:szCs w:val="24"/>
          <w:vertAlign w:val="superscript"/>
          <w:lang w:val="en-US" w:eastAsia="zh-CN"/>
        </w:rPr>
        <w:t>2</w:t>
      </w:r>
      <w:r>
        <w:rPr>
          <w:rFonts w:hint="eastAsia" w:ascii="宋体" w:hAnsi="宋体" w:eastAsia="宋体" w:cs="宋体"/>
          <w:color w:val="auto"/>
          <w:kern w:val="2"/>
          <w:sz w:val="24"/>
          <w:szCs w:val="24"/>
          <w:lang w:val="en-US" w:eastAsia="zh-CN"/>
        </w:rPr>
        <w:t>（2.94亩)</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kern w:val="2"/>
          <w:sz w:val="24"/>
          <w:szCs w:val="24"/>
          <w:lang w:val="en-US" w:eastAsia="zh-CN"/>
        </w:rPr>
        <w:t>本次验收已建成的一期工程，目前一期实际处理规量约为</w:t>
      </w:r>
      <w:r>
        <w:rPr>
          <w:rFonts w:hint="eastAsia" w:ascii="宋体" w:hAnsi="宋体" w:eastAsia="宋体" w:cs="宋体"/>
          <w:color w:val="auto"/>
          <w:kern w:val="2"/>
          <w:sz w:val="24"/>
          <w:szCs w:val="24"/>
          <w:highlight w:val="none"/>
          <w:lang w:val="en-US" w:eastAsia="zh-CN"/>
        </w:rPr>
        <w:t>1000t/d</w:t>
      </w:r>
      <w:r>
        <w:rPr>
          <w:rFonts w:hint="eastAsia" w:ascii="宋体" w:hAnsi="宋体" w:eastAsia="宋体" w:cs="宋体"/>
          <w:color w:val="auto"/>
          <w:kern w:val="2"/>
          <w:sz w:val="24"/>
          <w:szCs w:val="24"/>
          <w:lang w:val="en-US" w:eastAsia="zh-CN"/>
        </w:rPr>
        <w:t>。</w:t>
      </w:r>
      <w:r>
        <w:rPr>
          <w:rFonts w:hint="eastAsia" w:ascii="宋体" w:hAnsi="宋体" w:eastAsia="宋体" w:cs="宋体"/>
          <w:color w:val="auto"/>
          <w:kern w:val="2"/>
          <w:sz w:val="24"/>
          <w:szCs w:val="24"/>
          <w:highlight w:val="none"/>
          <w:lang w:val="en-US" w:eastAsia="zh-CN"/>
        </w:rPr>
        <w:t>2014年7月漳</w:t>
      </w:r>
      <w:r>
        <w:rPr>
          <w:rFonts w:hint="eastAsia" w:ascii="宋体" w:hAnsi="宋体" w:eastAsia="宋体" w:cs="宋体"/>
          <w:color w:val="auto"/>
          <w:kern w:val="2"/>
          <w:sz w:val="24"/>
          <w:szCs w:val="24"/>
          <w:lang w:val="en-US" w:eastAsia="zh-CN"/>
        </w:rPr>
        <w:t>州市圣元环保电力有限公司委托厦门新绿色环境发展有限公司编制《漳浦县旧镇镇西区污水处理厂工程项目环境影响报告表》，并于2014年11月18日通过漳浦县环境保护局审批。</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（二）工程变动情况</w:t>
      </w:r>
    </w:p>
    <w:p>
      <w:pPr>
        <w:autoSpaceDE w:val="0"/>
        <w:autoSpaceDN w:val="0"/>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原环评设计建设除臭系统，实际</w:t>
      </w:r>
      <w:r>
        <w:rPr>
          <w:rFonts w:hint="eastAsia" w:ascii="宋体" w:hAnsi="宋体" w:eastAsia="宋体" w:cs="宋体"/>
          <w:color w:val="auto"/>
          <w:sz w:val="24"/>
          <w:szCs w:val="24"/>
          <w:lang w:val="zh-CN" w:eastAsia="zh-CN"/>
        </w:rPr>
        <w:t>采用水泥板加盖密闭。</w:t>
      </w:r>
      <w:r>
        <w:rPr>
          <w:rFonts w:hint="eastAsia" w:ascii="宋体" w:hAnsi="宋体" w:eastAsia="宋体" w:cs="宋体"/>
          <w:color w:val="auto"/>
          <w:sz w:val="24"/>
          <w:szCs w:val="24"/>
          <w:lang w:val="en-US" w:eastAsia="zh-CN"/>
        </w:rPr>
        <w:t>原环评设计4台加药反应泵、1台规范化排放口冲洗泵、盐酸储罐、二氧化氯消毒工艺，实际未使用盐酸储罐、采用次氯酸钠消毒工艺，新增2</w:t>
      </w:r>
      <w:r>
        <w:rPr>
          <w:rFonts w:hint="eastAsia" w:ascii="宋体" w:hAnsi="宋体" w:eastAsia="宋体" w:cs="宋体"/>
          <w:color w:val="auto"/>
          <w:sz w:val="24"/>
          <w:szCs w:val="24"/>
          <w:lang w:val="zh-CN" w:eastAsia="zh-CN"/>
        </w:rPr>
        <w:t>台计量泵</w:t>
      </w:r>
      <w:r>
        <w:rPr>
          <w:rFonts w:hint="eastAsia" w:ascii="宋体" w:hAnsi="宋体" w:eastAsia="宋体" w:cs="宋体"/>
          <w:color w:val="auto"/>
          <w:sz w:val="24"/>
          <w:szCs w:val="24"/>
          <w:lang w:val="en-US" w:eastAsia="zh-CN"/>
        </w:rPr>
        <w:t>、1间危废仓库。</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二、环境保护设施建设情况</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（一）废水</w:t>
      </w:r>
    </w:p>
    <w:p>
      <w:pPr>
        <w:autoSpaceDE w:val="0"/>
        <w:autoSpaceDN w:val="0"/>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目前项目</w:t>
      </w:r>
      <w:r>
        <w:rPr>
          <w:rFonts w:hint="eastAsia" w:ascii="宋体" w:hAnsi="宋体" w:eastAsia="宋体" w:cs="宋体"/>
          <w:color w:val="auto"/>
          <w:sz w:val="24"/>
          <w:szCs w:val="24"/>
          <w:lang w:val="en-US" w:eastAsia="en-US"/>
        </w:rPr>
        <w:t>废水主要来自于</w:t>
      </w:r>
      <w:r>
        <w:rPr>
          <w:rFonts w:hint="eastAsia" w:ascii="宋体" w:hAnsi="宋体" w:eastAsia="宋体" w:cs="宋体"/>
          <w:color w:val="auto"/>
          <w:sz w:val="24"/>
          <w:szCs w:val="24"/>
          <w:lang w:val="en-US" w:eastAsia="zh-CN"/>
        </w:rPr>
        <w:t>漳浦县旧镇镇区域工业废水、生活污水管道接入，排入量约1000t/d。少部分来自本厂区设备清洗废水和员工生活污水，其中生活污水采用化粪池二级处理后接入项目调节池处理，接入量约为36t/d。废水经项目工程</w:t>
      </w:r>
      <w:r>
        <w:rPr>
          <w:rFonts w:hint="default" w:ascii="宋体" w:hAnsi="宋体" w:eastAsia="宋体" w:cs="宋体"/>
          <w:color w:val="auto"/>
          <w:sz w:val="24"/>
          <w:szCs w:val="24"/>
          <w:lang w:val="en-US" w:eastAsia="en-US"/>
        </w:rPr>
        <w:t>A</w:t>
      </w:r>
      <w:r>
        <w:rPr>
          <w:rFonts w:hint="eastAsia" w:ascii="宋体" w:hAnsi="宋体" w:eastAsia="宋体" w:cs="宋体"/>
          <w:color w:val="auto"/>
          <w:sz w:val="24"/>
          <w:szCs w:val="24"/>
          <w:vertAlign w:val="superscript"/>
          <w:lang w:val="en-US" w:eastAsia="zh-CN"/>
        </w:rPr>
        <w:t>2</w:t>
      </w:r>
      <w:r>
        <w:rPr>
          <w:rFonts w:hint="default" w:ascii="宋体" w:hAnsi="宋体" w:eastAsia="宋体" w:cs="宋体"/>
          <w:color w:val="auto"/>
          <w:sz w:val="24"/>
          <w:szCs w:val="24"/>
          <w:lang w:val="en-US" w:eastAsia="en-US"/>
        </w:rPr>
        <w:t>/O</w:t>
      </w:r>
      <w:r>
        <w:rPr>
          <w:rFonts w:hint="eastAsia" w:ascii="宋体" w:hAnsi="宋体" w:eastAsia="宋体" w:cs="宋体"/>
          <w:color w:val="auto"/>
          <w:sz w:val="24"/>
          <w:szCs w:val="24"/>
          <w:lang w:val="en-US" w:eastAsia="en-US"/>
        </w:rPr>
        <w:t>工艺</w:t>
      </w:r>
      <w:r>
        <w:rPr>
          <w:rFonts w:hint="eastAsia" w:ascii="宋体" w:hAnsi="宋体" w:eastAsia="宋体" w:cs="宋体"/>
          <w:color w:val="auto"/>
          <w:sz w:val="24"/>
          <w:szCs w:val="24"/>
          <w:lang w:val="en-US" w:eastAsia="zh-CN"/>
        </w:rPr>
        <w:t>处理达标后排入鹿溪。</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（二）废气</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污水厂的进水区、生化区和污泥处理区会产生恶臭气体，本项目未建设废气除臭系统，在</w:t>
      </w:r>
      <w:r>
        <w:rPr>
          <w:rFonts w:hint="eastAsia" w:ascii="宋体" w:hAnsi="宋体" w:eastAsia="宋体" w:cs="宋体"/>
          <w:color w:val="auto"/>
          <w:sz w:val="24"/>
          <w:szCs w:val="24"/>
          <w:lang w:val="en-US" w:eastAsia="en-US"/>
        </w:rPr>
        <w:t>A</w:t>
      </w:r>
      <w:r>
        <w:rPr>
          <w:rFonts w:hint="eastAsia" w:ascii="宋体" w:hAnsi="宋体" w:eastAsia="宋体" w:cs="宋体"/>
          <w:color w:val="auto"/>
          <w:sz w:val="24"/>
          <w:szCs w:val="24"/>
          <w:vertAlign w:val="superscript"/>
          <w:lang w:val="en-US" w:eastAsia="zh-CN"/>
        </w:rPr>
        <w:t>2</w:t>
      </w:r>
      <w:r>
        <w:rPr>
          <w:rFonts w:hint="eastAsia" w:ascii="宋体" w:hAnsi="宋体" w:eastAsia="宋体" w:cs="宋体"/>
          <w:color w:val="auto"/>
          <w:sz w:val="24"/>
          <w:szCs w:val="24"/>
          <w:lang w:val="en-US" w:eastAsia="en-US"/>
        </w:rPr>
        <w:t>/O池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en-US"/>
        </w:rPr>
        <w:t>格网调节池</w:t>
      </w:r>
      <w:r>
        <w:rPr>
          <w:rFonts w:hint="eastAsia" w:ascii="宋体" w:hAnsi="宋体" w:eastAsia="宋体" w:cs="宋体"/>
          <w:color w:val="auto"/>
          <w:sz w:val="24"/>
          <w:szCs w:val="24"/>
          <w:lang w:val="en-US" w:eastAsia="zh-CN"/>
        </w:rPr>
        <w:t>等生化区产污部位盖水泥板密封，减轻废气无组织排放。项目采取了合理布局、保证扩散距离、加强生产管理，防治污泥大量死亡腐烂、在厂内及周边植树绿化等措施，以减少臭气的环境影响，厂址距离最近的敏感点在160米以上，满足卫生防护距离100m的要求。</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（三）噪声</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主要噪声源为出水泵、循环水泵、鼓风机等设备运行过程产生的噪声，目前采用的主要噪声处理措施为对高噪声设备合理布局，同时选用低噪设备，对主要的噪声源设备加装隔声、减震装置，减少噪声对周围环境的影响。</w:t>
      </w:r>
    </w:p>
    <w:p>
      <w:pPr>
        <w:autoSpaceDE w:val="0"/>
        <w:autoSpaceDN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（四）固体废物</w:t>
      </w:r>
    </w:p>
    <w:p>
      <w:pPr>
        <w:spacing w:line="360" w:lineRule="auto"/>
        <w:ind w:left="-2" w:firstLine="55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生活垃圾分类收集后和生产中产生的栅渣统一委托漳州圣元环保电力有限公司清运处理。脱水污泥委托漳州市圣元环保电力有限公司BOT投资建设的漳浦县垃圾焚烧发电厂焚烧进行焚烧。</w:t>
      </w:r>
      <w:r>
        <w:rPr>
          <w:rFonts w:hint="eastAsia" w:ascii="宋体" w:hAnsi="宋体" w:eastAsia="宋体" w:cs="宋体"/>
          <w:color w:val="auto"/>
          <w:sz w:val="24"/>
          <w:szCs w:val="24"/>
          <w:lang w:val="en-US" w:eastAsia="zh-CN"/>
        </w:rPr>
        <w:t>原料空桶和在线监测废液暂存于危废仓库，待收集达到一定量的时候，将按国家危废管理的办法交给</w:t>
      </w:r>
      <w:r>
        <w:rPr>
          <w:rFonts w:hint="eastAsia" w:ascii="宋体" w:hAnsi="宋体" w:eastAsia="宋体" w:cs="宋体"/>
          <w:color w:val="auto"/>
          <w:sz w:val="24"/>
          <w:szCs w:val="24"/>
          <w:lang w:eastAsia="zh-CN"/>
        </w:rPr>
        <w:t>福建省固体废物处置有限公司</w:t>
      </w:r>
      <w:r>
        <w:rPr>
          <w:rFonts w:hint="eastAsia" w:ascii="宋体" w:hAnsi="宋体" w:eastAsia="宋体" w:cs="宋体"/>
          <w:color w:val="auto"/>
          <w:sz w:val="24"/>
          <w:szCs w:val="24"/>
          <w:lang w:val="en-US" w:eastAsia="zh-CN"/>
        </w:rPr>
        <w:t>处理，废机油暂存危废间，待到一定量再委托有资质公司处理。</w:t>
      </w:r>
    </w:p>
    <w:p>
      <w:pPr>
        <w:spacing w:line="360" w:lineRule="auto"/>
        <w:ind w:left="-2" w:firstLine="555"/>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（五）其他环境保护设施</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1.环境风险防范设施</w:t>
      </w:r>
    </w:p>
    <w:p>
      <w:pPr>
        <w:spacing w:line="360" w:lineRule="auto"/>
        <w:ind w:left="-2" w:firstLine="555"/>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本项目的风险事故主要表现：污水管网系统管道堵塞、破损造成的污水外溢，污水厂进水浓度超过设计进水水质对污水处理工艺的冲击，污泥膨胀、变质，地震对构筑物的破坏，事故排放对受纳水体环境的污染影响，电力及机械故障，维修时人员H</w:t>
      </w:r>
      <w:r>
        <w:rPr>
          <w:rFonts w:hint="eastAsia" w:ascii="宋体" w:hAnsi="宋体" w:eastAsia="宋体" w:cs="宋体"/>
          <w:b w:val="0"/>
          <w:bCs w:val="0"/>
          <w:color w:val="auto"/>
          <w:sz w:val="24"/>
          <w:szCs w:val="24"/>
          <w:vertAlign w:val="subscript"/>
          <w:lang w:val="en-US" w:eastAsia="zh-CN"/>
        </w:rPr>
        <w:t>2</w:t>
      </w:r>
      <w:r>
        <w:rPr>
          <w:rFonts w:hint="eastAsia" w:ascii="宋体" w:hAnsi="宋体" w:eastAsia="宋体" w:cs="宋体"/>
          <w:b w:val="0"/>
          <w:bCs w:val="0"/>
          <w:color w:val="auto"/>
          <w:sz w:val="24"/>
          <w:szCs w:val="24"/>
          <w:lang w:val="en-US" w:eastAsia="zh-CN"/>
        </w:rPr>
        <w:t>S中毒等。这些风险事故的预防着重在于加强管理，从设施建设、制度保障上来加以防范，风险防范措施简述如下。</w:t>
      </w:r>
    </w:p>
    <w:p>
      <w:pPr>
        <w:spacing w:line="360" w:lineRule="auto"/>
        <w:ind w:left="-2" w:firstLine="555"/>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⑴</w:t>
      </w:r>
      <w:r>
        <w:rPr>
          <w:rFonts w:hint="eastAsia" w:ascii="宋体" w:hAnsi="宋体" w:eastAsia="宋体" w:cs="宋体"/>
          <w:b w:val="0"/>
          <w:bCs w:val="0"/>
          <w:color w:val="auto"/>
          <w:sz w:val="24"/>
          <w:szCs w:val="24"/>
          <w:lang w:val="en-US" w:eastAsia="zh-CN"/>
        </w:rPr>
        <w:t>本污水处理厂设计中供电采用双电源设计，机械采用先进高质产品。工程检修时，将对水池进行换气，满足劳动保护的换气要求，然后，才进行操作检修</w:t>
      </w:r>
      <w:r>
        <w:rPr>
          <w:rFonts w:hint="eastAsia" w:ascii="宋体" w:hAnsi="宋体" w:eastAsia="宋体" w:cs="宋体"/>
          <w:b w:val="0"/>
          <w:bCs w:val="0"/>
          <w:color w:val="auto"/>
          <w:sz w:val="24"/>
          <w:szCs w:val="24"/>
          <w:lang w:eastAsia="zh-CN"/>
        </w:rPr>
        <w:t>。</w:t>
      </w:r>
    </w:p>
    <w:p>
      <w:pPr>
        <w:spacing w:line="360" w:lineRule="auto"/>
        <w:ind w:left="-2" w:firstLine="555"/>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⑵适量增加养料和溶解氧，控制合适</w:t>
      </w:r>
      <w:r>
        <w:rPr>
          <w:rFonts w:hint="eastAsia" w:ascii="宋体" w:hAnsi="宋体" w:eastAsia="宋体" w:cs="宋体"/>
          <w:b w:val="0"/>
          <w:bCs w:val="0"/>
          <w:color w:val="auto"/>
          <w:sz w:val="24"/>
          <w:szCs w:val="24"/>
          <w:lang w:val="en-US" w:eastAsia="zh-CN"/>
        </w:rPr>
        <w:t>pH、水温、含水率，保持污泥良好活性</w:t>
      </w:r>
      <w:r>
        <w:rPr>
          <w:rFonts w:hint="eastAsia" w:ascii="宋体" w:hAnsi="宋体" w:eastAsia="宋体" w:cs="宋体"/>
          <w:b w:val="0"/>
          <w:bCs w:val="0"/>
          <w:color w:val="auto"/>
          <w:sz w:val="24"/>
          <w:szCs w:val="24"/>
          <w:lang w:eastAsia="zh-CN"/>
        </w:rPr>
        <w:t>。</w:t>
      </w:r>
    </w:p>
    <w:p>
      <w:pPr>
        <w:spacing w:line="360" w:lineRule="auto"/>
        <w:ind w:left="-2" w:firstLine="555"/>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⑶加强日常的</w:t>
      </w:r>
      <w:r>
        <w:rPr>
          <w:rFonts w:hint="eastAsia" w:ascii="宋体" w:hAnsi="宋体" w:eastAsia="宋体" w:cs="宋体"/>
          <w:b w:val="0"/>
          <w:bCs w:val="0"/>
          <w:color w:val="auto"/>
          <w:sz w:val="24"/>
          <w:szCs w:val="24"/>
          <w:lang w:val="en-US" w:eastAsia="zh-CN"/>
        </w:rPr>
        <w:t>检查、维护和管理，保证污水管网的安全运行</w:t>
      </w:r>
      <w:r>
        <w:rPr>
          <w:rFonts w:hint="eastAsia" w:ascii="宋体" w:hAnsi="宋体" w:eastAsia="宋体" w:cs="宋体"/>
          <w:b w:val="0"/>
          <w:bCs w:val="0"/>
          <w:color w:val="auto"/>
          <w:sz w:val="24"/>
          <w:szCs w:val="24"/>
          <w:lang w:eastAsia="zh-CN"/>
        </w:rPr>
        <w:t>。</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2.在线监测装置</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废水在线仪表设在</w:t>
      </w:r>
      <w:r>
        <w:rPr>
          <w:rFonts w:hint="eastAsia" w:ascii="宋体" w:hAnsi="宋体" w:eastAsia="宋体" w:cs="宋体"/>
          <w:b w:val="0"/>
          <w:bCs w:val="0"/>
          <w:color w:val="auto"/>
          <w:sz w:val="24"/>
          <w:szCs w:val="24"/>
          <w:lang w:eastAsia="zh-CN"/>
        </w:rPr>
        <w:t>在线监测</w:t>
      </w:r>
      <w:r>
        <w:rPr>
          <w:rFonts w:hint="eastAsia" w:ascii="宋体" w:hAnsi="宋体" w:eastAsia="宋体" w:cs="宋体"/>
          <w:b w:val="0"/>
          <w:bCs w:val="0"/>
          <w:color w:val="auto"/>
          <w:sz w:val="24"/>
          <w:szCs w:val="24"/>
        </w:rPr>
        <w:t>间，安装1台氨氮在线监测仪</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1台COD在线监测仪</w:t>
      </w:r>
      <w:r>
        <w:rPr>
          <w:rFonts w:hint="eastAsia" w:ascii="宋体" w:hAnsi="宋体" w:eastAsia="宋体" w:cs="宋体"/>
          <w:b w:val="0"/>
          <w:bCs w:val="0"/>
          <w:color w:val="auto"/>
          <w:sz w:val="24"/>
          <w:szCs w:val="24"/>
          <w:lang w:eastAsia="zh-CN"/>
        </w:rPr>
        <w:t>和</w:t>
      </w:r>
      <w:r>
        <w:rPr>
          <w:rFonts w:hint="eastAsia" w:ascii="宋体" w:hAnsi="宋体" w:eastAsia="宋体" w:cs="宋体"/>
          <w:b w:val="0"/>
          <w:bCs w:val="0"/>
          <w:color w:val="auto"/>
          <w:sz w:val="24"/>
          <w:szCs w:val="24"/>
          <w:lang w:val="en-US" w:eastAsia="zh-CN"/>
        </w:rPr>
        <w:t>1台总磷在线监测仪</w:t>
      </w:r>
      <w:r>
        <w:rPr>
          <w:rFonts w:hint="eastAsia" w:ascii="宋体" w:hAnsi="宋体" w:eastAsia="宋体" w:cs="宋体"/>
          <w:b w:val="0"/>
          <w:bCs w:val="0"/>
          <w:color w:val="auto"/>
          <w:sz w:val="24"/>
          <w:szCs w:val="24"/>
        </w:rPr>
        <w:t>，并</w:t>
      </w:r>
      <w:r>
        <w:rPr>
          <w:rFonts w:hint="eastAsia" w:ascii="宋体" w:hAnsi="宋体" w:eastAsia="宋体" w:cs="宋体"/>
          <w:b w:val="0"/>
          <w:bCs w:val="0"/>
          <w:color w:val="auto"/>
          <w:sz w:val="24"/>
          <w:szCs w:val="24"/>
          <w:lang w:eastAsia="zh-CN"/>
        </w:rPr>
        <w:t>连</w:t>
      </w:r>
      <w:r>
        <w:rPr>
          <w:rFonts w:hint="eastAsia" w:ascii="宋体" w:hAnsi="宋体" w:eastAsia="宋体" w:cs="宋体"/>
          <w:b w:val="0"/>
          <w:bCs w:val="0"/>
          <w:color w:val="auto"/>
          <w:sz w:val="24"/>
          <w:szCs w:val="24"/>
        </w:rPr>
        <w:t>通数采仪</w:t>
      </w:r>
      <w:r>
        <w:rPr>
          <w:rFonts w:hint="eastAsia" w:ascii="宋体" w:hAnsi="宋体" w:eastAsia="宋体" w:cs="宋体"/>
          <w:b w:val="0"/>
          <w:bCs w:val="0"/>
          <w:color w:val="auto"/>
          <w:sz w:val="24"/>
          <w:szCs w:val="24"/>
          <w:lang w:eastAsia="zh-CN"/>
        </w:rPr>
        <w:t>，但尚未</w:t>
      </w:r>
      <w:r>
        <w:rPr>
          <w:rFonts w:hint="eastAsia" w:ascii="宋体" w:hAnsi="宋体" w:eastAsia="宋体" w:cs="宋体"/>
          <w:b w:val="0"/>
          <w:bCs w:val="0"/>
          <w:color w:val="auto"/>
          <w:sz w:val="24"/>
          <w:szCs w:val="24"/>
        </w:rPr>
        <w:t>与环保管理部门联网。废水在线监控设施本次并未进行比对验收。</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3.其他</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污染物排放口均符合规范化排污口的要求。</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四、环境保护设施</w:t>
      </w:r>
      <w:r>
        <w:rPr>
          <w:rFonts w:hint="eastAsia" w:ascii="宋体" w:hAnsi="宋体" w:eastAsia="宋体" w:cs="宋体"/>
          <w:b w:val="0"/>
          <w:bCs w:val="0"/>
          <w:color w:val="auto"/>
          <w:sz w:val="24"/>
          <w:szCs w:val="24"/>
          <w:lang w:eastAsia="zh-CN"/>
        </w:rPr>
        <w:t>运行</w:t>
      </w:r>
      <w:r>
        <w:rPr>
          <w:rFonts w:hint="eastAsia" w:ascii="宋体" w:hAnsi="宋体" w:eastAsia="宋体" w:cs="宋体"/>
          <w:b w:val="0"/>
          <w:bCs w:val="0"/>
          <w:color w:val="auto"/>
          <w:sz w:val="24"/>
          <w:szCs w:val="24"/>
        </w:rPr>
        <w:t>效果</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（一）污染物达标排放情况</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1.废水</w:t>
      </w:r>
    </w:p>
    <w:p>
      <w:pPr>
        <w:ind w:left="-75" w:leftChars="-34" w:right="-112" w:rightChars="-51"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污水处理设施出口各项污染物排放浓度均符合</w:t>
      </w:r>
      <w:r>
        <w:rPr>
          <w:rFonts w:hint="eastAsia" w:ascii="宋体" w:hAnsi="宋体" w:eastAsia="宋体" w:cs="宋体"/>
          <w:color w:val="000000"/>
          <w:sz w:val="24"/>
          <w:szCs w:val="24"/>
        </w:rPr>
        <w:t>城镇污水处理厂污染物排放标准》(GB 18918-2002) 表1一级B标准、表2、表3</w:t>
      </w:r>
      <w:r>
        <w:rPr>
          <w:rFonts w:hint="eastAsia" w:ascii="宋体" w:hAnsi="宋体" w:eastAsia="宋体" w:cs="宋体"/>
          <w:color w:val="auto"/>
          <w:sz w:val="24"/>
          <w:szCs w:val="24"/>
          <w:lang w:val="en-US" w:eastAsia="zh-CN"/>
        </w:rPr>
        <w:t>标准</w:t>
      </w:r>
      <w:r>
        <w:rPr>
          <w:rFonts w:hint="eastAsia" w:ascii="宋体" w:hAnsi="宋体" w:eastAsia="宋体" w:cs="宋体"/>
          <w:color w:val="auto"/>
          <w:sz w:val="24"/>
          <w:szCs w:val="24"/>
          <w:lang w:eastAsia="zh-CN"/>
        </w:rPr>
        <w:t>。</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2.废气</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color w:val="auto"/>
          <w:sz w:val="24"/>
          <w:szCs w:val="24"/>
          <w:lang w:eastAsia="zh-CN"/>
        </w:rPr>
        <w:t>厂界无组织废气监测</w:t>
      </w:r>
      <w:r>
        <w:rPr>
          <w:rFonts w:hint="eastAsia" w:ascii="宋体" w:hAnsi="宋体" w:eastAsia="宋体" w:cs="宋体"/>
          <w:b w:val="0"/>
          <w:bCs/>
          <w:sz w:val="24"/>
          <w:szCs w:val="24"/>
          <w:lang w:eastAsia="zh-CN"/>
        </w:rPr>
        <w:t>，臭气、氨、硫化氢、甲烷无组织最大排放浓度符合</w:t>
      </w:r>
      <w:r>
        <w:rPr>
          <w:rFonts w:hint="eastAsia" w:ascii="宋体" w:hAnsi="宋体" w:eastAsia="宋体" w:cs="宋体"/>
          <w:b w:val="0"/>
          <w:bCs/>
          <w:sz w:val="24"/>
          <w:szCs w:val="24"/>
        </w:rPr>
        <w:t>《城镇污水处理厂污染物排放标准》(GB 18918-2002)表5 二级</w:t>
      </w:r>
      <w:r>
        <w:rPr>
          <w:rFonts w:hint="eastAsia" w:ascii="宋体" w:hAnsi="宋体" w:eastAsia="宋体" w:cs="宋体"/>
          <w:b w:val="0"/>
          <w:bCs/>
          <w:sz w:val="24"/>
          <w:szCs w:val="24"/>
          <w:lang w:val="en-US" w:eastAsia="zh-CN"/>
        </w:rPr>
        <w:t>标准的无组织监控浓度限值。</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3.厂界噪声</w:t>
      </w:r>
    </w:p>
    <w:p>
      <w:pPr>
        <w:spacing w:line="360" w:lineRule="auto"/>
        <w:ind w:left="-2" w:firstLine="555"/>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厂界噪声排放均达到 GB12348-2008《工业企业厂界环境噪声排放标准》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类标准。</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4.固体废物</w:t>
      </w:r>
    </w:p>
    <w:p>
      <w:pPr>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公</w:t>
      </w:r>
      <w:r>
        <w:rPr>
          <w:rFonts w:hint="eastAsia" w:ascii="宋体" w:hAnsi="宋体" w:eastAsia="宋体" w:cs="宋体"/>
          <w:color w:val="auto"/>
          <w:sz w:val="24"/>
          <w:szCs w:val="24"/>
        </w:rPr>
        <w:t xml:space="preserve">司运营过程的一般固废能做到分类收集后妥善处置，不会对周围环境造成二次污染，危废能做到统一收集暂存，与有资质的处置单位签订处置协议，定期进行处理。 </w:t>
      </w:r>
      <w:r>
        <w:rPr>
          <w:rFonts w:hint="eastAsia" w:ascii="宋体" w:hAnsi="宋体" w:eastAsia="宋体" w:cs="宋体"/>
          <w:color w:val="auto"/>
          <w:sz w:val="24"/>
          <w:szCs w:val="24"/>
          <w:lang w:eastAsia="zh-CN"/>
        </w:rPr>
        <w:t>污泥监测结果汇总表来看，污泥含水率达到《城镇污水处理厂污染物排放标准》(GB18918-2002)处理标准。</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（二）环保设施去除效率</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1.废水治理设施</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color w:val="auto"/>
          <w:sz w:val="24"/>
          <w:szCs w:val="24"/>
          <w:lang w:eastAsia="zh-CN"/>
        </w:rPr>
        <w:t>悬浮物</w:t>
      </w:r>
      <w:r>
        <w:rPr>
          <w:rFonts w:hint="eastAsia" w:ascii="宋体" w:hAnsi="宋体" w:eastAsia="宋体" w:cs="宋体"/>
          <w:color w:val="auto"/>
          <w:sz w:val="24"/>
          <w:szCs w:val="24"/>
        </w:rPr>
        <w:t>两日平均处理效率为</w:t>
      </w:r>
      <w:r>
        <w:rPr>
          <w:rFonts w:hint="eastAsia" w:ascii="宋体" w:hAnsi="宋体" w:eastAsia="宋体" w:cs="宋体"/>
          <w:color w:val="auto"/>
          <w:sz w:val="24"/>
          <w:szCs w:val="24"/>
          <w:lang w:val="en-US" w:eastAsia="zh-CN"/>
        </w:rPr>
        <w:t>95%，</w:t>
      </w:r>
      <w:r>
        <w:rPr>
          <w:rFonts w:hint="eastAsia" w:ascii="宋体" w:hAnsi="宋体" w:eastAsia="宋体" w:cs="宋体"/>
          <w:color w:val="auto"/>
          <w:sz w:val="24"/>
          <w:szCs w:val="24"/>
        </w:rPr>
        <w:t>化学需氧量两日平均处理效率为</w:t>
      </w:r>
      <w:r>
        <w:rPr>
          <w:rFonts w:hint="eastAsia" w:ascii="宋体" w:hAnsi="宋体" w:eastAsia="宋体" w:cs="宋体"/>
          <w:color w:val="auto"/>
          <w:sz w:val="24"/>
          <w:szCs w:val="24"/>
          <w:lang w:val="en-US" w:eastAsia="zh-CN"/>
        </w:rPr>
        <w:t>88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五日生化需氧量</w:t>
      </w:r>
      <w:r>
        <w:rPr>
          <w:rFonts w:hint="eastAsia" w:ascii="宋体" w:hAnsi="宋体" w:eastAsia="宋体" w:cs="宋体"/>
          <w:color w:val="auto"/>
          <w:sz w:val="24"/>
          <w:szCs w:val="24"/>
        </w:rPr>
        <w:t>两日平均处理效率为</w:t>
      </w:r>
      <w:r>
        <w:rPr>
          <w:rFonts w:hint="eastAsia" w:ascii="宋体" w:hAnsi="宋体" w:eastAsia="宋体" w:cs="宋体"/>
          <w:color w:val="auto"/>
          <w:sz w:val="24"/>
          <w:szCs w:val="24"/>
          <w:lang w:val="en-US" w:eastAsia="zh-CN"/>
        </w:rPr>
        <w:t>94%，</w:t>
      </w:r>
      <w:r>
        <w:rPr>
          <w:rFonts w:hint="eastAsia" w:ascii="宋体" w:hAnsi="宋体" w:eastAsia="宋体" w:cs="宋体"/>
          <w:color w:val="auto"/>
          <w:sz w:val="24"/>
          <w:szCs w:val="24"/>
        </w:rPr>
        <w:t>氨氮两日平均处理效率为</w:t>
      </w:r>
      <w:r>
        <w:rPr>
          <w:rFonts w:hint="eastAsia" w:ascii="宋体" w:hAnsi="宋体" w:eastAsia="宋体" w:cs="宋体"/>
          <w:color w:val="auto"/>
          <w:sz w:val="24"/>
          <w:szCs w:val="24"/>
          <w:lang w:val="en-US" w:eastAsia="zh-CN"/>
        </w:rPr>
        <w:t>85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，总磷</w:t>
      </w:r>
      <w:r>
        <w:rPr>
          <w:rFonts w:hint="eastAsia" w:ascii="宋体" w:hAnsi="宋体" w:eastAsia="宋体" w:cs="宋体"/>
          <w:color w:val="auto"/>
          <w:sz w:val="24"/>
          <w:szCs w:val="24"/>
        </w:rPr>
        <w:t>两日平均处理效率为</w:t>
      </w:r>
      <w:r>
        <w:rPr>
          <w:rFonts w:hint="eastAsia" w:ascii="宋体" w:hAnsi="宋体" w:eastAsia="宋体" w:cs="宋体"/>
          <w:color w:val="auto"/>
          <w:sz w:val="24"/>
          <w:szCs w:val="24"/>
          <w:lang w:val="en-US" w:eastAsia="zh-CN"/>
        </w:rPr>
        <w:t>96%，总氮</w:t>
      </w:r>
      <w:r>
        <w:rPr>
          <w:rFonts w:hint="eastAsia" w:ascii="宋体" w:hAnsi="宋体" w:eastAsia="宋体" w:cs="宋体"/>
          <w:color w:val="auto"/>
          <w:sz w:val="24"/>
          <w:szCs w:val="24"/>
        </w:rPr>
        <w:t>两日平均处理效率为</w:t>
      </w:r>
      <w:r>
        <w:rPr>
          <w:rFonts w:hint="eastAsia" w:ascii="宋体" w:hAnsi="宋体" w:eastAsia="宋体" w:cs="宋体"/>
          <w:color w:val="auto"/>
          <w:sz w:val="24"/>
          <w:szCs w:val="24"/>
          <w:lang w:val="en-US" w:eastAsia="zh-CN"/>
        </w:rPr>
        <w:t>76%</w:t>
      </w:r>
      <w:r>
        <w:rPr>
          <w:rFonts w:hint="eastAsia" w:ascii="宋体" w:hAnsi="宋体" w:eastAsia="宋体" w:cs="宋体"/>
          <w:b w:val="0"/>
          <w:bCs w:val="0"/>
          <w:color w:val="auto"/>
          <w:sz w:val="24"/>
          <w:szCs w:val="24"/>
        </w:rPr>
        <w:t>。</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2.废气治理设施</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废气处理设施无收集处置装置，属于无组织排放，无处理效率。无组织排放浓度符合</w:t>
      </w:r>
      <w:r>
        <w:rPr>
          <w:rFonts w:hint="eastAsia" w:ascii="宋体" w:hAnsi="宋体" w:eastAsia="宋体" w:cs="宋体"/>
          <w:b w:val="0"/>
          <w:bCs/>
          <w:sz w:val="24"/>
          <w:szCs w:val="24"/>
        </w:rPr>
        <w:t>《城镇污水处理厂污染物排放标准》(GB 18918-2002)表5 二级</w:t>
      </w:r>
      <w:r>
        <w:rPr>
          <w:rFonts w:hint="eastAsia" w:ascii="宋体" w:hAnsi="宋体" w:eastAsia="宋体" w:cs="宋体"/>
          <w:b w:val="0"/>
          <w:bCs/>
          <w:sz w:val="24"/>
          <w:szCs w:val="24"/>
          <w:lang w:val="en-US" w:eastAsia="zh-CN"/>
        </w:rPr>
        <w:t>标准</w:t>
      </w:r>
      <w:r>
        <w:rPr>
          <w:rFonts w:hint="eastAsia" w:ascii="宋体" w:hAnsi="宋体" w:eastAsia="宋体" w:cs="宋体"/>
          <w:color w:val="auto"/>
          <w:sz w:val="24"/>
          <w:szCs w:val="24"/>
          <w:lang w:eastAsia="zh-CN"/>
        </w:rPr>
        <w:t>排放浓度限值</w:t>
      </w:r>
      <w:r>
        <w:rPr>
          <w:rFonts w:hint="eastAsia" w:ascii="宋体" w:hAnsi="宋体" w:eastAsia="宋体" w:cs="宋体"/>
          <w:color w:val="auto"/>
          <w:sz w:val="24"/>
          <w:szCs w:val="24"/>
        </w:rPr>
        <w:t>。</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3.厂界噪声治理设施</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厂界噪声均达到</w:t>
      </w:r>
      <w:r>
        <w:rPr>
          <w:rFonts w:hint="eastAsia" w:ascii="宋体" w:hAnsi="宋体" w:eastAsia="宋体" w:cs="宋体"/>
          <w:color w:val="auto"/>
          <w:sz w:val="24"/>
          <w:szCs w:val="24"/>
          <w:lang w:eastAsia="zh-CN"/>
        </w:rPr>
        <w:t xml:space="preserve"> GB12348-2008《工业企业厂界环境噪声排放标准》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类标准</w:t>
      </w:r>
      <w:r>
        <w:rPr>
          <w:rFonts w:hint="eastAsia" w:ascii="宋体" w:hAnsi="宋体" w:eastAsia="宋体" w:cs="宋体"/>
          <w:b w:val="0"/>
          <w:bCs w:val="0"/>
          <w:color w:val="auto"/>
          <w:sz w:val="24"/>
          <w:szCs w:val="24"/>
        </w:rPr>
        <w:t>。</w:t>
      </w:r>
    </w:p>
    <w:p>
      <w:pPr>
        <w:spacing w:line="360" w:lineRule="auto"/>
        <w:ind w:left="-2" w:firstLine="555"/>
        <w:rPr>
          <w:rFonts w:hint="eastAsia" w:ascii="宋体" w:hAnsi="宋体" w:eastAsia="宋体" w:cs="宋体"/>
          <w:b w:val="0"/>
          <w:bCs w:val="0"/>
          <w:color w:val="auto"/>
          <w:sz w:val="24"/>
          <w:szCs w:val="24"/>
        </w:rPr>
      </w:pP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五、结论及建议</w:t>
      </w:r>
    </w:p>
    <w:p>
      <w:pPr>
        <w:spacing w:line="360" w:lineRule="auto"/>
        <w:ind w:left="-2" w:firstLine="55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w:t>
      </w:r>
      <w:r>
        <w:rPr>
          <w:rFonts w:hint="eastAsia" w:ascii="宋体" w:hAnsi="宋体" w:eastAsia="宋体" w:cs="宋体"/>
          <w:b w:val="0"/>
          <w:bCs w:val="0"/>
          <w:color w:val="auto"/>
          <w:sz w:val="24"/>
          <w:szCs w:val="24"/>
          <w:lang w:eastAsia="zh-CN"/>
        </w:rPr>
        <w:t>基本达到</w:t>
      </w:r>
      <w:r>
        <w:rPr>
          <w:rFonts w:hint="eastAsia" w:ascii="宋体" w:hAnsi="宋体" w:eastAsia="宋体" w:cs="宋体"/>
          <w:b w:val="0"/>
          <w:bCs w:val="0"/>
          <w:color w:val="auto"/>
          <w:sz w:val="24"/>
          <w:szCs w:val="24"/>
        </w:rPr>
        <w:t>环评</w:t>
      </w:r>
      <w:r>
        <w:rPr>
          <w:rFonts w:hint="eastAsia" w:ascii="宋体" w:hAnsi="宋体" w:eastAsia="宋体" w:cs="宋体"/>
          <w:b w:val="0"/>
          <w:bCs w:val="0"/>
          <w:color w:val="auto"/>
          <w:sz w:val="24"/>
          <w:szCs w:val="24"/>
          <w:lang w:eastAsia="zh-CN"/>
        </w:rPr>
        <w:t>文件</w:t>
      </w:r>
      <w:r>
        <w:rPr>
          <w:rFonts w:hint="eastAsia" w:ascii="宋体" w:hAnsi="宋体" w:eastAsia="宋体" w:cs="宋体"/>
          <w:b w:val="0"/>
          <w:bCs w:val="0"/>
          <w:color w:val="auto"/>
          <w:sz w:val="24"/>
          <w:szCs w:val="24"/>
        </w:rPr>
        <w:t>及批复</w:t>
      </w:r>
      <w:r>
        <w:rPr>
          <w:rFonts w:hint="eastAsia" w:ascii="宋体" w:hAnsi="宋体" w:eastAsia="宋体" w:cs="宋体"/>
          <w:b w:val="0"/>
          <w:bCs w:val="0"/>
          <w:color w:val="auto"/>
          <w:sz w:val="24"/>
          <w:szCs w:val="24"/>
          <w:lang w:eastAsia="zh-CN"/>
        </w:rPr>
        <w:t>要求，</w:t>
      </w:r>
      <w:r>
        <w:rPr>
          <w:rFonts w:hint="eastAsia" w:ascii="宋体" w:hAnsi="宋体" w:eastAsia="宋体" w:cs="宋体"/>
          <w:b w:val="0"/>
          <w:bCs w:val="0"/>
          <w:color w:val="auto"/>
          <w:sz w:val="24"/>
          <w:szCs w:val="24"/>
        </w:rPr>
        <w:t>同意通过竣工环境保护验收。</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建议如下：</w:t>
      </w:r>
    </w:p>
    <w:p>
      <w:pPr>
        <w:numPr>
          <w:ilvl w:val="0"/>
          <w:numId w:val="1"/>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按规范补充废机油处置协议。</w:t>
      </w:r>
    </w:p>
    <w:p>
      <w:pPr>
        <w:numPr>
          <w:ilvl w:val="0"/>
          <w:numId w:val="1"/>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尽快落实在线监测仪器的比对验收，并与环保局联网。</w:t>
      </w:r>
    </w:p>
    <w:p>
      <w:pPr>
        <w:spacing w:line="360" w:lineRule="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附：验收组名单</w:t>
      </w:r>
    </w:p>
    <w:p>
      <w:pPr>
        <w:spacing w:line="360" w:lineRule="auto"/>
        <w:rPr>
          <w:rFonts w:hint="eastAsia" w:ascii="宋体" w:hAnsi="宋体" w:eastAsia="宋体" w:cs="宋体"/>
          <w:b w:val="0"/>
          <w:bCs w:val="0"/>
          <w:color w:val="auto"/>
          <w:sz w:val="24"/>
          <w:szCs w:val="24"/>
          <w:lang w:eastAsia="zh-CN"/>
        </w:rPr>
      </w:pPr>
    </w:p>
    <w:p>
      <w:pPr>
        <w:spacing w:line="360" w:lineRule="auto"/>
        <w:ind w:firstLine="5280" w:firstLineChars="2200"/>
        <w:jc w:val="righ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漳州圣元环保电力有限公司</w:t>
      </w:r>
      <w:r>
        <w:rPr>
          <w:rFonts w:hint="eastAsia" w:ascii="宋体" w:hAnsi="宋体" w:eastAsia="宋体" w:cs="宋体"/>
          <w:b w:val="0"/>
          <w:bCs w:val="0"/>
          <w:color w:val="auto"/>
          <w:sz w:val="24"/>
          <w:szCs w:val="24"/>
        </w:rPr>
        <w:t xml:space="preserve">  </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2018年</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 xml:space="preserve">日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8"/>
          <w:szCs w:val="28"/>
        </w:rPr>
        <w:t xml:space="preserve">     </w:t>
      </w: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drawing>
          <wp:inline distT="0" distB="0" distL="114300" distR="114300">
            <wp:extent cx="5269230" cy="7449185"/>
            <wp:effectExtent l="0" t="0" r="7620" b="18415"/>
            <wp:docPr id="1" name="图片 1" descr="漳浦县旧镇镇西区污水处理厂工程竣工环境保护设施验收会验收组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漳浦县旧镇镇西区污水处理厂工程竣工环境保护设施验收会验收组名单"/>
                    <pic:cNvPicPr>
                      <a:picLocks noChangeAspect="1"/>
                    </pic:cNvPicPr>
                  </pic:nvPicPr>
                  <pic:blipFill>
                    <a:blip r:embed="rId5"/>
                    <a:stretch>
                      <a:fillRect/>
                    </a:stretch>
                  </pic:blipFill>
                  <pic:spPr>
                    <a:xfrm>
                      <a:off x="0" y="0"/>
                      <a:ext cx="5269230" cy="7449185"/>
                    </a:xfrm>
                    <a:prstGeom prst="rect">
                      <a:avLst/>
                    </a:prstGeom>
                  </pic:spPr>
                </pic:pic>
              </a:graphicData>
            </a:graphic>
          </wp:inline>
        </w:drawing>
      </w:r>
      <w:bookmarkStart w:id="0" w:name="_GoBack"/>
      <w:bookmarkEnd w:id="0"/>
    </w:p>
    <w:p>
      <w:pPr>
        <w:spacing w:line="360" w:lineRule="auto"/>
        <w:jc w:val="center"/>
        <w:rPr>
          <w:rFonts w:hint="eastAsia" w:ascii="宋体" w:hAnsi="宋体" w:eastAsia="宋体" w:cs="宋体"/>
          <w:b/>
          <w:bCs/>
          <w:color w:val="auto"/>
          <w:sz w:val="28"/>
          <w:szCs w:val="28"/>
        </w:rPr>
      </w:pPr>
    </w:p>
    <w:sectPr>
      <w:footerReference r:id="rId3"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eastAsia="宋体"/>
      </w:rPr>
      <w:t>第</w:t>
    </w:r>
    <w:r>
      <w:rPr>
        <w:rFonts w:ascii="宋体" w:hAnsi="宋体" w:eastAsia="宋体"/>
        <w:lang w:val="zh-CN"/>
      </w:rPr>
      <w:t xml:space="preserve"> </w:t>
    </w:r>
    <w:r>
      <w:rPr>
        <w:rFonts w:ascii="宋体" w:hAnsi="宋体" w:eastAsia="宋体"/>
        <w:bCs/>
      </w:rPr>
      <w:fldChar w:fldCharType="begin"/>
    </w:r>
    <w:r>
      <w:rPr>
        <w:rFonts w:ascii="宋体" w:hAnsi="宋体" w:eastAsia="宋体"/>
        <w:bCs/>
      </w:rPr>
      <w:instrText xml:space="preserve">PAGE</w:instrText>
    </w:r>
    <w:r>
      <w:rPr>
        <w:rFonts w:ascii="宋体" w:hAnsi="宋体" w:eastAsia="宋体"/>
        <w:bCs/>
      </w:rPr>
      <w:fldChar w:fldCharType="separate"/>
    </w:r>
    <w:r>
      <w:rPr>
        <w:rFonts w:ascii="宋体" w:hAnsi="宋体" w:eastAsia="宋体"/>
        <w:bCs/>
      </w:rPr>
      <w:t>6</w:t>
    </w:r>
    <w:r>
      <w:rPr>
        <w:rFonts w:ascii="宋体" w:hAnsi="宋体" w:eastAsia="宋体"/>
        <w:bCs/>
      </w:rPr>
      <w:fldChar w:fldCharType="end"/>
    </w:r>
    <w:r>
      <w:rPr>
        <w:rFonts w:ascii="宋体" w:hAnsi="宋体" w:eastAsia="宋体"/>
        <w:lang w:val="zh-CN"/>
      </w:rPr>
      <w:t xml:space="preserve"> </w:t>
    </w:r>
    <w:r>
      <w:rPr>
        <w:rFonts w:hint="eastAsia" w:ascii="宋体" w:hAnsi="宋体" w:eastAsia="宋体"/>
        <w:lang w:val="zh-CN"/>
      </w:rPr>
      <w:t>页</w:t>
    </w:r>
    <w:r>
      <w:rPr>
        <w:rFonts w:ascii="宋体" w:hAnsi="宋体" w:eastAsia="宋体"/>
        <w:lang w:val="zh-CN"/>
      </w:rPr>
      <w:t xml:space="preserve"> </w:t>
    </w:r>
    <w:r>
      <w:rPr>
        <w:rFonts w:hint="eastAsia" w:ascii="宋体" w:hAnsi="宋体" w:eastAsia="宋体"/>
        <w:lang w:val="zh-CN"/>
      </w:rPr>
      <w:t>共</w:t>
    </w:r>
    <w:r>
      <w:rPr>
        <w:rFonts w:ascii="宋体" w:hAnsi="宋体" w:eastAsia="宋体"/>
        <w:lang w:val="zh-CN"/>
      </w:rPr>
      <w:t xml:space="preserve"> </w:t>
    </w:r>
    <w:r>
      <w:rPr>
        <w:rFonts w:ascii="宋体" w:hAnsi="宋体" w:eastAsia="宋体"/>
        <w:bCs/>
      </w:rPr>
      <w:fldChar w:fldCharType="begin"/>
    </w:r>
    <w:r>
      <w:rPr>
        <w:rFonts w:ascii="宋体" w:hAnsi="宋体" w:eastAsia="宋体"/>
        <w:bCs/>
      </w:rPr>
      <w:instrText xml:space="preserve">NUMPAGES</w:instrText>
    </w:r>
    <w:r>
      <w:rPr>
        <w:rFonts w:ascii="宋体" w:hAnsi="宋体" w:eastAsia="宋体"/>
        <w:bCs/>
      </w:rPr>
      <w:fldChar w:fldCharType="separate"/>
    </w:r>
    <w:r>
      <w:rPr>
        <w:rFonts w:ascii="宋体" w:hAnsi="宋体" w:eastAsia="宋体"/>
        <w:bCs/>
      </w:rPr>
      <w:t>6</w:t>
    </w:r>
    <w:r>
      <w:rPr>
        <w:rFonts w:ascii="宋体" w:hAnsi="宋体" w:eastAsia="宋体"/>
        <w:bCs/>
      </w:rPr>
      <w:fldChar w:fldCharType="end"/>
    </w:r>
    <w:r>
      <w:rPr>
        <w:rFonts w:hint="eastAsia" w:ascii="宋体" w:hAnsi="宋体" w:eastAsia="宋体"/>
        <w:bCs/>
      </w:rPr>
      <w:t>页</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48BDE"/>
    <w:multiLevelType w:val="singleLevel"/>
    <w:tmpl w:val="F4C48B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720"/>
  <w:drawingGridHorizontalSpacing w:val="0"/>
  <w:drawingGridVerticalSpacing w:val="0"/>
  <w:doNotShadeFormData w:val="1"/>
  <w:characterSpacingControl w:val="doNotCompress"/>
  <w:noLineBreaksAfter w:lang="zh-CN" w:val="$([{£¥·‘“〈《「『【〔〖〝﹙﹛﹝＄（．［｛￡￥"/>
  <w:noLineBreaksBefore w:lang="zh-CN" w:val="!%),.:;&gt;?]}¢¨°·ˇˉ―‖’”…‰′″›℃∶、。〃〉》」』】〕〗〞︶︺︾﹀﹄﹚﹜﹞！＂％＇），．：；？］｀｜｝～￠"/>
  <w:doNotValidateAgainstSchema/>
  <w:doNotDemarcateInvalidXml/>
  <w:compat>
    <w:spaceForUL/>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11A"/>
    <w:rsid w:val="000270A5"/>
    <w:rsid w:val="00036CCA"/>
    <w:rsid w:val="000555A9"/>
    <w:rsid w:val="000C260C"/>
    <w:rsid w:val="000C483F"/>
    <w:rsid w:val="000E398E"/>
    <w:rsid w:val="00105C84"/>
    <w:rsid w:val="00117AD8"/>
    <w:rsid w:val="001469EC"/>
    <w:rsid w:val="00172A27"/>
    <w:rsid w:val="00195ACE"/>
    <w:rsid w:val="001C338C"/>
    <w:rsid w:val="001C6EC3"/>
    <w:rsid w:val="001E41C2"/>
    <w:rsid w:val="002179D0"/>
    <w:rsid w:val="00227C1D"/>
    <w:rsid w:val="00275E83"/>
    <w:rsid w:val="002E312D"/>
    <w:rsid w:val="002E71A5"/>
    <w:rsid w:val="002F59E3"/>
    <w:rsid w:val="0032455E"/>
    <w:rsid w:val="003627AF"/>
    <w:rsid w:val="00370200"/>
    <w:rsid w:val="003B1F42"/>
    <w:rsid w:val="004030B0"/>
    <w:rsid w:val="004758B0"/>
    <w:rsid w:val="004A22F4"/>
    <w:rsid w:val="004F75E7"/>
    <w:rsid w:val="005259F8"/>
    <w:rsid w:val="00557C43"/>
    <w:rsid w:val="00573FED"/>
    <w:rsid w:val="006205B6"/>
    <w:rsid w:val="006218EB"/>
    <w:rsid w:val="006257CB"/>
    <w:rsid w:val="00627857"/>
    <w:rsid w:val="00665189"/>
    <w:rsid w:val="00684940"/>
    <w:rsid w:val="006869E6"/>
    <w:rsid w:val="006A28C5"/>
    <w:rsid w:val="006B46CB"/>
    <w:rsid w:val="006E20DB"/>
    <w:rsid w:val="006F7EE4"/>
    <w:rsid w:val="007914E1"/>
    <w:rsid w:val="007D4729"/>
    <w:rsid w:val="00816CE8"/>
    <w:rsid w:val="0083426C"/>
    <w:rsid w:val="00847CAC"/>
    <w:rsid w:val="00871CFB"/>
    <w:rsid w:val="008809CA"/>
    <w:rsid w:val="0088236F"/>
    <w:rsid w:val="00897D18"/>
    <w:rsid w:val="008B5B64"/>
    <w:rsid w:val="008C0FAA"/>
    <w:rsid w:val="008D6639"/>
    <w:rsid w:val="008F4C73"/>
    <w:rsid w:val="00955000"/>
    <w:rsid w:val="00991768"/>
    <w:rsid w:val="00994060"/>
    <w:rsid w:val="009A72DE"/>
    <w:rsid w:val="009E708F"/>
    <w:rsid w:val="00A11AA3"/>
    <w:rsid w:val="00AE7F8B"/>
    <w:rsid w:val="00AF2AC4"/>
    <w:rsid w:val="00B149D8"/>
    <w:rsid w:val="00B9128C"/>
    <w:rsid w:val="00B93BAA"/>
    <w:rsid w:val="00BF0DB0"/>
    <w:rsid w:val="00C25559"/>
    <w:rsid w:val="00C5080F"/>
    <w:rsid w:val="00C61449"/>
    <w:rsid w:val="00C622AB"/>
    <w:rsid w:val="00C63860"/>
    <w:rsid w:val="00C80CB4"/>
    <w:rsid w:val="00C95C93"/>
    <w:rsid w:val="00CA530B"/>
    <w:rsid w:val="00CE0C37"/>
    <w:rsid w:val="00CE7639"/>
    <w:rsid w:val="00CF2585"/>
    <w:rsid w:val="00CF37E4"/>
    <w:rsid w:val="00D23860"/>
    <w:rsid w:val="00D770EC"/>
    <w:rsid w:val="00D91895"/>
    <w:rsid w:val="00DA16C3"/>
    <w:rsid w:val="00DB0D4D"/>
    <w:rsid w:val="00DD3135"/>
    <w:rsid w:val="00EA3EE6"/>
    <w:rsid w:val="00EC221D"/>
    <w:rsid w:val="00ED2ECA"/>
    <w:rsid w:val="00EE62BC"/>
    <w:rsid w:val="00F517BA"/>
    <w:rsid w:val="00FD4549"/>
    <w:rsid w:val="00FE1240"/>
    <w:rsid w:val="00FE28EF"/>
    <w:rsid w:val="00FE2B47"/>
    <w:rsid w:val="00FF0566"/>
    <w:rsid w:val="04186BC8"/>
    <w:rsid w:val="054A785B"/>
    <w:rsid w:val="0808371D"/>
    <w:rsid w:val="08CF7E15"/>
    <w:rsid w:val="0B600F84"/>
    <w:rsid w:val="0B66737E"/>
    <w:rsid w:val="0E3F5AAF"/>
    <w:rsid w:val="10321C33"/>
    <w:rsid w:val="11403FF3"/>
    <w:rsid w:val="12110B36"/>
    <w:rsid w:val="13C65E98"/>
    <w:rsid w:val="154460BB"/>
    <w:rsid w:val="182A2C26"/>
    <w:rsid w:val="18CC46A2"/>
    <w:rsid w:val="198960B1"/>
    <w:rsid w:val="1A546DB6"/>
    <w:rsid w:val="1C8169C6"/>
    <w:rsid w:val="1E5A0AB1"/>
    <w:rsid w:val="21923004"/>
    <w:rsid w:val="236E0D47"/>
    <w:rsid w:val="25CF50B9"/>
    <w:rsid w:val="25E2580B"/>
    <w:rsid w:val="26751205"/>
    <w:rsid w:val="26A722AB"/>
    <w:rsid w:val="276B20AE"/>
    <w:rsid w:val="2897182E"/>
    <w:rsid w:val="2C7F1AFE"/>
    <w:rsid w:val="2D015D91"/>
    <w:rsid w:val="300E1530"/>
    <w:rsid w:val="30F52634"/>
    <w:rsid w:val="33B17B9B"/>
    <w:rsid w:val="355D5048"/>
    <w:rsid w:val="359C7A02"/>
    <w:rsid w:val="39B07403"/>
    <w:rsid w:val="3A0F458D"/>
    <w:rsid w:val="3AD07C4B"/>
    <w:rsid w:val="3CAE11C4"/>
    <w:rsid w:val="41E5312D"/>
    <w:rsid w:val="426524B5"/>
    <w:rsid w:val="45102AE5"/>
    <w:rsid w:val="48F23552"/>
    <w:rsid w:val="49AC7B10"/>
    <w:rsid w:val="49CC4200"/>
    <w:rsid w:val="4B0340D0"/>
    <w:rsid w:val="4D1968E3"/>
    <w:rsid w:val="4D912A52"/>
    <w:rsid w:val="4EB13C5E"/>
    <w:rsid w:val="4FBB2713"/>
    <w:rsid w:val="54096EAC"/>
    <w:rsid w:val="55435A49"/>
    <w:rsid w:val="56174FFB"/>
    <w:rsid w:val="57BD0BF9"/>
    <w:rsid w:val="59F27B6C"/>
    <w:rsid w:val="5B114595"/>
    <w:rsid w:val="5C344947"/>
    <w:rsid w:val="5D867B6B"/>
    <w:rsid w:val="5EE22224"/>
    <w:rsid w:val="607D7E77"/>
    <w:rsid w:val="609767E6"/>
    <w:rsid w:val="60BE6098"/>
    <w:rsid w:val="610C2042"/>
    <w:rsid w:val="642E62A7"/>
    <w:rsid w:val="64EC35AD"/>
    <w:rsid w:val="661F7A3F"/>
    <w:rsid w:val="6779745B"/>
    <w:rsid w:val="6A7D4AA7"/>
    <w:rsid w:val="6E7704EC"/>
    <w:rsid w:val="705E352F"/>
    <w:rsid w:val="70C918AF"/>
    <w:rsid w:val="714247A5"/>
    <w:rsid w:val="715E3703"/>
    <w:rsid w:val="73C44122"/>
    <w:rsid w:val="77791CE0"/>
    <w:rsid w:val="77BE19AA"/>
    <w:rsid w:val="78C074D3"/>
    <w:rsid w:val="797A4D49"/>
    <w:rsid w:val="7B14427A"/>
    <w:rsid w:val="7CD37221"/>
    <w:rsid w:val="7DC4122C"/>
    <w:rsid w:val="7DFB33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2"/>
    <w:basedOn w:val="1"/>
    <w:next w:val="1"/>
    <w:link w:val="11"/>
    <w:qFormat/>
    <w:uiPriority w:val="99"/>
    <w:pPr>
      <w:keepNext/>
      <w:keepLines/>
      <w:widowControl w:val="0"/>
      <w:adjustRightInd/>
      <w:snapToGrid/>
      <w:spacing w:after="0" w:line="360" w:lineRule="exact"/>
      <w:jc w:val="both"/>
      <w:outlineLvl w:val="1"/>
    </w:pPr>
    <w:rPr>
      <w:rFonts w:ascii="Times New Roman" w:hAnsi="Times New Roman" w:eastAsia="宋体"/>
      <w:bCs/>
      <w:kern w:val="2"/>
      <w:sz w:val="21"/>
      <w:szCs w:val="32"/>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2"/>
    <w:qFormat/>
    <w:uiPriority w:val="99"/>
  </w:style>
  <w:style w:type="paragraph" w:styleId="4">
    <w:name w:val="Balloon Text"/>
    <w:basedOn w:val="1"/>
    <w:link w:val="13"/>
    <w:qFormat/>
    <w:uiPriority w:val="99"/>
    <w:pPr>
      <w:spacing w:after="0"/>
    </w:pPr>
    <w:rPr>
      <w:sz w:val="18"/>
      <w:szCs w:val="18"/>
    </w:rPr>
  </w:style>
  <w:style w:type="paragraph" w:styleId="5">
    <w:name w:val="footer"/>
    <w:basedOn w:val="1"/>
    <w:link w:val="14"/>
    <w:qFormat/>
    <w:uiPriority w:val="99"/>
    <w:pPr>
      <w:tabs>
        <w:tab w:val="center" w:pos="4153"/>
        <w:tab w:val="right" w:pos="8306"/>
      </w:tabs>
    </w:pPr>
    <w:rPr>
      <w:sz w:val="18"/>
      <w:szCs w:val="18"/>
    </w:rPr>
  </w:style>
  <w:style w:type="paragraph" w:styleId="6">
    <w:name w:val="header"/>
    <w:basedOn w:val="1"/>
    <w:link w:val="15"/>
    <w:qFormat/>
    <w:uiPriority w:val="99"/>
    <w:pPr>
      <w:pBdr>
        <w:bottom w:val="single" w:color="auto" w:sz="6" w:space="1"/>
      </w:pBdr>
      <w:tabs>
        <w:tab w:val="center" w:pos="4153"/>
        <w:tab w:val="right" w:pos="8306"/>
      </w:tabs>
      <w:jc w:val="center"/>
    </w:pPr>
    <w:rPr>
      <w:sz w:val="18"/>
      <w:szCs w:val="18"/>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1">
    <w:name w:val="Heading 2 Char"/>
    <w:basedOn w:val="7"/>
    <w:link w:val="2"/>
    <w:qFormat/>
    <w:locked/>
    <w:uiPriority w:val="99"/>
    <w:rPr>
      <w:rFonts w:ascii="Times New Roman" w:hAnsi="Times New Roman" w:eastAsia="宋体" w:cs="Times New Roman"/>
      <w:bCs/>
      <w:kern w:val="2"/>
      <w:sz w:val="32"/>
      <w:szCs w:val="32"/>
    </w:rPr>
  </w:style>
  <w:style w:type="character" w:customStyle="1" w:styleId="12">
    <w:name w:val="Comment Text Char"/>
    <w:basedOn w:val="7"/>
    <w:link w:val="3"/>
    <w:qFormat/>
    <w:locked/>
    <w:uiPriority w:val="99"/>
    <w:rPr>
      <w:rFonts w:ascii="Tahoma" w:hAnsi="Tahoma" w:cs="Times New Roman"/>
    </w:rPr>
  </w:style>
  <w:style w:type="character" w:customStyle="1" w:styleId="13">
    <w:name w:val="Balloon Text Char"/>
    <w:basedOn w:val="7"/>
    <w:link w:val="4"/>
    <w:qFormat/>
    <w:locked/>
    <w:uiPriority w:val="99"/>
    <w:rPr>
      <w:rFonts w:ascii="Tahoma" w:hAnsi="Tahoma" w:cs="Times New Roman"/>
      <w:sz w:val="18"/>
      <w:szCs w:val="18"/>
    </w:rPr>
  </w:style>
  <w:style w:type="character" w:customStyle="1" w:styleId="14">
    <w:name w:val="Footer Char"/>
    <w:basedOn w:val="7"/>
    <w:link w:val="5"/>
    <w:qFormat/>
    <w:locked/>
    <w:uiPriority w:val="99"/>
    <w:rPr>
      <w:rFonts w:ascii="Tahoma" w:hAnsi="Tahoma" w:cs="Times New Roman"/>
      <w:sz w:val="18"/>
      <w:szCs w:val="18"/>
    </w:rPr>
  </w:style>
  <w:style w:type="character" w:customStyle="1" w:styleId="15">
    <w:name w:val="Header Char"/>
    <w:basedOn w:val="7"/>
    <w:link w:val="6"/>
    <w:qFormat/>
    <w:locked/>
    <w:uiPriority w:val="99"/>
    <w:rPr>
      <w:rFonts w:ascii="Tahoma" w:hAnsi="Tahoma" w:cs="Times New Roman"/>
      <w:sz w:val="18"/>
      <w:szCs w:val="18"/>
    </w:rPr>
  </w:style>
  <w:style w:type="character" w:customStyle="1" w:styleId="16">
    <w:name w:val="文档结构图 Char"/>
    <w:basedOn w:val="7"/>
    <w:link w:val="17"/>
    <w:qFormat/>
    <w:locked/>
    <w:uiPriority w:val="99"/>
    <w:rPr>
      <w:rFonts w:ascii="宋体" w:hAnsi="Tahoma" w:eastAsia="宋体" w:cs="Times New Roman"/>
      <w:sz w:val="18"/>
      <w:szCs w:val="18"/>
    </w:rPr>
  </w:style>
  <w:style w:type="paragraph" w:customStyle="1" w:styleId="17">
    <w:name w:val="文档结构图1"/>
    <w:basedOn w:val="1"/>
    <w:link w:val="16"/>
    <w:qFormat/>
    <w:uiPriority w:val="99"/>
    <w:rPr>
      <w:rFonts w:ascii="宋体" w:eastAsia="宋体"/>
      <w:sz w:val="18"/>
      <w:szCs w:val="18"/>
    </w:rPr>
  </w:style>
  <w:style w:type="character" w:customStyle="1" w:styleId="18">
    <w:name w:val="日期 Char"/>
    <w:basedOn w:val="7"/>
    <w:link w:val="19"/>
    <w:qFormat/>
    <w:locked/>
    <w:uiPriority w:val="99"/>
    <w:rPr>
      <w:rFonts w:ascii="Tahoma" w:hAnsi="Tahoma" w:cs="Times New Roman"/>
    </w:rPr>
  </w:style>
  <w:style w:type="paragraph" w:customStyle="1" w:styleId="19">
    <w:name w:val="日期1"/>
    <w:basedOn w:val="1"/>
    <w:next w:val="1"/>
    <w:link w:val="18"/>
    <w:qFormat/>
    <w:uiPriority w:val="99"/>
    <w:pPr>
      <w:ind w:left="100" w:leftChars="2500"/>
    </w:pPr>
  </w:style>
  <w:style w:type="character" w:customStyle="1" w:styleId="20">
    <w:name w:val="页码1"/>
    <w:basedOn w:val="7"/>
    <w:qFormat/>
    <w:uiPriority w:val="99"/>
    <w:rPr>
      <w:rFonts w:cs="Times New Roman"/>
    </w:rPr>
  </w:style>
  <w:style w:type="character" w:customStyle="1" w:styleId="21">
    <w:name w:val="正文文本缩进 Char"/>
    <w:basedOn w:val="7"/>
    <w:link w:val="22"/>
    <w:qFormat/>
    <w:locked/>
    <w:uiPriority w:val="99"/>
    <w:rPr>
      <w:rFonts w:ascii="仿宋_GB2312" w:hAnsi="Times New Roman" w:eastAsia="仿宋_GB2312" w:cs="Times New Roman"/>
      <w:sz w:val="20"/>
      <w:szCs w:val="20"/>
    </w:rPr>
  </w:style>
  <w:style w:type="paragraph" w:customStyle="1" w:styleId="22">
    <w:name w:val="正文文本缩进1"/>
    <w:basedOn w:val="1"/>
    <w:link w:val="21"/>
    <w:qFormat/>
    <w:uiPriority w:val="99"/>
    <w:pPr>
      <w:widowControl w:val="0"/>
      <w:snapToGrid/>
      <w:spacing w:after="0" w:line="233" w:lineRule="auto"/>
      <w:ind w:firstLine="570"/>
      <w:jc w:val="both"/>
      <w:textAlignment w:val="baseline"/>
    </w:pPr>
    <w:rPr>
      <w:rFonts w:ascii="仿宋_GB2312" w:hAnsi="Times New Roman" w:eastAsia="仿宋_GB2312"/>
      <w:sz w:val="28"/>
      <w:szCs w:val="20"/>
    </w:rPr>
  </w:style>
  <w:style w:type="character" w:customStyle="1" w:styleId="23">
    <w:name w:val="正文文本缩进 2 Char"/>
    <w:basedOn w:val="7"/>
    <w:link w:val="24"/>
    <w:qFormat/>
    <w:locked/>
    <w:uiPriority w:val="99"/>
    <w:rPr>
      <w:rFonts w:ascii="Times New Roman" w:hAnsi="Times New Roman" w:eastAsia="仿宋_GB2312" w:cs="Times New Roman"/>
      <w:sz w:val="20"/>
      <w:szCs w:val="20"/>
    </w:rPr>
  </w:style>
  <w:style w:type="paragraph" w:customStyle="1" w:styleId="24">
    <w:name w:val="正文文本缩进 21"/>
    <w:basedOn w:val="1"/>
    <w:link w:val="23"/>
    <w:qFormat/>
    <w:uiPriority w:val="99"/>
    <w:pPr>
      <w:widowControl w:val="0"/>
      <w:snapToGrid/>
      <w:spacing w:after="0" w:line="312" w:lineRule="atLeast"/>
      <w:ind w:firstLine="570"/>
      <w:jc w:val="distribute"/>
      <w:textAlignment w:val="baseline"/>
    </w:pPr>
    <w:rPr>
      <w:rFonts w:ascii="Times New Roman" w:hAnsi="Times New Roman" w:eastAsia="仿宋_GB2312"/>
      <w:sz w:val="28"/>
      <w:szCs w:val="20"/>
    </w:rPr>
  </w:style>
  <w:style w:type="character" w:customStyle="1" w:styleId="25">
    <w:name w:val="纯文本 Char"/>
    <w:basedOn w:val="7"/>
    <w:qFormat/>
    <w:uiPriority w:val="99"/>
    <w:rPr>
      <w:rFonts w:ascii="宋体" w:hAnsi="Courier New" w:eastAsia="宋体" w:cs="Courier New"/>
      <w:sz w:val="21"/>
      <w:szCs w:val="21"/>
    </w:rPr>
  </w:style>
  <w:style w:type="character" w:customStyle="1" w:styleId="26">
    <w:name w:val="纯文本 Char1"/>
    <w:link w:val="27"/>
    <w:qFormat/>
    <w:locked/>
    <w:uiPriority w:val="99"/>
    <w:rPr>
      <w:rFonts w:ascii="宋体" w:hAnsi="Courier New" w:eastAsia="宋体"/>
      <w:kern w:val="2"/>
      <w:sz w:val="20"/>
    </w:rPr>
  </w:style>
  <w:style w:type="paragraph" w:customStyle="1" w:styleId="27">
    <w:name w:val="纯文本1"/>
    <w:basedOn w:val="1"/>
    <w:link w:val="26"/>
    <w:qFormat/>
    <w:uiPriority w:val="99"/>
    <w:pPr>
      <w:widowControl w:val="0"/>
      <w:adjustRightInd/>
      <w:snapToGrid/>
      <w:spacing w:after="0"/>
      <w:jc w:val="both"/>
    </w:pPr>
    <w:rPr>
      <w:rFonts w:ascii="宋体" w:hAnsi="Courier New" w:eastAsia="宋体"/>
      <w:kern w:val="2"/>
      <w:sz w:val="21"/>
      <w:szCs w:val="20"/>
    </w:rPr>
  </w:style>
  <w:style w:type="character" w:customStyle="1" w:styleId="28">
    <w:name w:val="批注引用1"/>
    <w:basedOn w:val="7"/>
    <w:qFormat/>
    <w:uiPriority w:val="99"/>
    <w:rPr>
      <w:rFonts w:cs="Times New Roman"/>
      <w:sz w:val="21"/>
      <w:szCs w:val="21"/>
    </w:rPr>
  </w:style>
  <w:style w:type="character" w:customStyle="1" w:styleId="29">
    <w:name w:val="批注主题 Char"/>
    <w:basedOn w:val="12"/>
    <w:link w:val="30"/>
    <w:qFormat/>
    <w:locked/>
    <w:uiPriority w:val="99"/>
    <w:rPr>
      <w:b/>
      <w:bCs/>
    </w:rPr>
  </w:style>
  <w:style w:type="paragraph" w:customStyle="1" w:styleId="30">
    <w:name w:val="批注主题1"/>
    <w:basedOn w:val="3"/>
    <w:next w:val="3"/>
    <w:link w:val="29"/>
    <w:qFormat/>
    <w:uiPriority w:val="99"/>
    <w:rPr>
      <w:b/>
      <w:bCs/>
    </w:rPr>
  </w:style>
  <w:style w:type="paragraph" w:customStyle="1" w:styleId="31">
    <w:name w:val="列出段落1"/>
    <w:basedOn w:val="1"/>
    <w:qFormat/>
    <w:uiPriority w:val="99"/>
    <w:pPr>
      <w:widowControl w:val="0"/>
      <w:adjustRightInd/>
      <w:snapToGrid/>
      <w:spacing w:after="0"/>
      <w:ind w:firstLine="420" w:firstLineChars="200"/>
      <w:jc w:val="both"/>
    </w:pPr>
    <w:rPr>
      <w:rFonts w:ascii="Calibri" w:hAnsi="Calibri" w:eastAsia="宋体"/>
      <w:kern w:val="2"/>
      <w:sz w:val="21"/>
    </w:rPr>
  </w:style>
  <w:style w:type="paragraph" w:customStyle="1" w:styleId="32">
    <w:name w:val="普通(网站)1"/>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33">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4">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6</Pages>
  <Words>859</Words>
  <Characters>4897</Characters>
  <Lines>0</Lines>
  <Paragraphs>0</Paragraphs>
  <TotalTime>62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2018-01-21T03:58:00Z</dcterms:created>
  <dc:creator>Administrator</dc:creator>
  <cp:lastModifiedBy>娜娜</cp:lastModifiedBy>
  <cp:lastPrinted>2017-09-30T07:28:00Z</cp:lastPrinted>
  <dcterms:modified xsi:type="dcterms:W3CDTF">2018-07-20T07:23:14Z</dcterms:modified>
  <dc:title>杨龙 处员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